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Festival  =&gt; Verbond Reinaert</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‘festival’ tijdens het nachtspel. Dit betekent dat jullie een 15tal begeleiding voorzien die zich inleven in de verschillende personages van het festival. De deelnemers kunnen terecht bij jullie om ‘drank’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‘drank’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moeten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van het festival,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drank (voorgesteld door een bekertje verfwater)</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Groot materiaal (voorzien via nachtspelploeg):</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 podiumelementen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box op batterijen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kartonnen instrumenten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Drank</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minimaal 350 bekertjes met verfwater</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(zelf te voorzien door verbond):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verkleedkleren: als artiest, roadie, zatlap,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campingstoelen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gadgets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 en uitleg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deel-nemers tegelijk</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Materiaal (voorzien door nachtspelploeg)</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Groepje artiesten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Crowdsurfing</w:t>
            </w:r>
            <w:r w:rsidDel="00000000" w:rsidR="00000000" w:rsidRPr="00000000">
              <w:rPr>
                <w:rFonts w:ascii="Arial Narrow" w:cs="Arial Narrow" w:eastAsia="Arial Narrow" w:hAnsi="Arial Narrow"/>
                <w:rtl w:val="0"/>
              </w:rPr>
              <w:t xml:space="preserve">: 1 persoon per ploeg start op het podium, de andere groepsleden starten 20 meter verder (afgebakende lijn). </w:t>
            </w:r>
          </w:p>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 groepsleden lopen naar hun crowdsurfer, deze springt en vervolgens lopen ze terug naar hun lijn. de eerste groep wint.</w:t>
            </w:r>
          </w:p>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Speel een eigen nummer, </w:t>
            </w:r>
            <w:r w:rsidDel="00000000" w:rsidR="00000000" w:rsidRPr="00000000">
              <w:rPr>
                <w:rFonts w:ascii="Arial Narrow" w:cs="Arial Narrow" w:eastAsia="Arial Narrow" w:hAnsi="Arial Narrow"/>
                <w:rtl w:val="0"/>
              </w:rPr>
              <w:t xml:space="preserve">geimproviseerd of niet, met alles waar je zin in hebt. Impress the artists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4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Geen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Roadie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Quiz doen over een bepaalde groep/artiest:</w:t>
            </w:r>
            <w:r w:rsidDel="00000000" w:rsidR="00000000" w:rsidRPr="00000000">
              <w:rPr>
                <w:rFonts w:ascii="Arial Narrow" w:cs="Arial Narrow" w:eastAsia="Arial Narrow" w:hAnsi="Arial Narrow"/>
                <w:rtl w:val="0"/>
              </w:rPr>
              <w:t xml:space="preserve"> quizje met muziekvragen.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Muziekquizvragenlijst</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Campingganger (zit in een campingstoel te chillen)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Bierpong zonder bier:</w:t>
            </w:r>
            <w:r w:rsidDel="00000000" w:rsidR="00000000" w:rsidRPr="00000000">
              <w:rPr>
                <w:rFonts w:ascii="Arial Narrow" w:cs="Arial Narrow" w:eastAsia="Arial Narrow" w:hAnsi="Arial Narrow"/>
                <w:rtl w:val="0"/>
              </w:rPr>
              <w:t xml:space="preserve"> de campingganger zit stevig bezopen in zijn campingstoel. Al zijn bier is op. Naast hem staan nog 5 lege campingstoelen. De campingganger wil graag een spel doen: bierpong. Hij heeft een grote beker en de bedoeling is dat de deelnemers vanop een afstand met een pingpongballetje in de beker gooien vanop een afstand (+- 4 meter). Gooi je in de beker, mag je gaan zitten in een lege stoel. De eerste ploeg die de meerderheid van de zetels kan bezetten, wint.</w:t>
            </w:r>
          </w:p>
          <w:p w:rsidR="00000000" w:rsidDel="00000000" w:rsidP="00000000" w:rsidRDefault="00000000" w:rsidRPr="00000000">
            <w:pPr>
              <w:spacing w:after="0" w:before="0" w:line="240" w:lineRule="auto"/>
              <w:contextualSpacing w:val="0"/>
              <w:rPr>
                <w:rFonts w:ascii="Arial Narrow" w:cs="Arial Narrow" w:eastAsia="Arial Narrow" w:hAnsi="Arial Narrow"/>
                <w:b w:val="1"/>
              </w:rPr>
            </w:pP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Bekers, pingpongballen, 6 stoelen</w:t>
            </w:r>
          </w:p>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Bewakingsagent</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 de nek zitten: </w:t>
            </w:r>
            <w:r w:rsidDel="00000000" w:rsidR="00000000" w:rsidRPr="00000000">
              <w:rPr>
                <w:rFonts w:ascii="Arial Narrow" w:cs="Arial Narrow" w:eastAsia="Arial Narrow" w:hAnsi="Arial Narrow"/>
                <w:rtl w:val="0"/>
              </w:rPr>
              <w:t xml:space="preserve">voor 1 keer laat de agent toe dat jullie in elkaars nek mogen zitten. Welke groep kan er als eerste 3 personen op elkaar zetten?</w:t>
            </w:r>
            <w:r w:rsidDel="00000000" w:rsidR="00000000" w:rsidRPr="00000000">
              <w:rPr>
                <w:rFonts w:ascii="Arial Narrow" w:cs="Arial Narrow" w:eastAsia="Arial Narrow" w:hAnsi="Arial Narrow"/>
                <w:b w:val="1"/>
                <w:rtl w:val="0"/>
              </w:rPr>
              <w:t xml:space="preserve"> </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Metal dude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Moshen – </w:t>
            </w:r>
            <w:r w:rsidDel="00000000" w:rsidR="00000000" w:rsidRPr="00000000">
              <w:rPr>
                <w:rFonts w:ascii="Arial Narrow" w:cs="Arial Narrow" w:eastAsia="Arial Narrow" w:hAnsi="Arial Narrow"/>
                <w:rtl w:val="0"/>
              </w:rPr>
              <w:t xml:space="preserve">een echt metal feestje is pas geslaagd als er deftig gemosht is. Baken een terrein af met touw en zet hier 2 of 3 groepen in. Je mag elkaar beginnen duwen (eventueel handen op de borstkas om het veilig te houden). De groep die als laatste overblijft binnen het touw wint.</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Touw</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Hippie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Peace </w:t>
            </w:r>
            <w:r w:rsidDel="00000000" w:rsidR="00000000" w:rsidRPr="00000000">
              <w:rPr>
                <w:rFonts w:ascii="Arial Narrow" w:cs="Arial Narrow" w:eastAsia="Arial Narrow" w:hAnsi="Arial Narrow"/>
                <w:rtl w:val="0"/>
              </w:rPr>
              <w:t xml:space="preserve">– de hippie wil peace voor iedereen. Hij is op zoek naar een nieuw peace teken om rond zijn nek te kunnen hangen. Maak een zo mooi mogelijke halsketting en win zijn respect. Wees creatief.</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Min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Karton, papier, touw, plakband, scharen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Hypervoorbereide bezoeker, met volledige planning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Vind de plectrum – </w:t>
            </w:r>
            <w:r w:rsidDel="00000000" w:rsidR="00000000" w:rsidRPr="00000000">
              <w:rPr>
                <w:rFonts w:ascii="Arial Narrow" w:cs="Arial Narrow" w:eastAsia="Arial Narrow" w:hAnsi="Arial Narrow"/>
                <w:rtl w:val="0"/>
              </w:rPr>
              <w:t xml:space="preserve">er is een plectrum van het podium gegooid, maar hij vindt het niet. Ga op zoek naar de plectrum! Deze ligt/hangt ergens in de festivalruimte.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Kartonnen plectrum (20 cm)</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Reporter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Spektakel – </w:t>
            </w:r>
            <w:r w:rsidDel="00000000" w:rsidR="00000000" w:rsidRPr="00000000">
              <w:rPr>
                <w:rFonts w:ascii="Arial Narrow" w:cs="Arial Narrow" w:eastAsia="Arial Narrow" w:hAnsi="Arial Narrow"/>
                <w:rtl w:val="0"/>
              </w:rPr>
              <w:t xml:space="preserve">de reporter is op zoek naar spektakel. Word de ‘king of festivals’ door om ter langste aan de pijpen van een jeansbroek te blijven te hangen.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bookmarkStart w:colFirst="0" w:colLast="0" w:name="_30j0zll" w:id="1"/>
            <w:bookmarkEnd w:id="1"/>
            <w:r w:rsidDel="00000000" w:rsidR="00000000" w:rsidRPr="00000000">
              <w:rPr>
                <w:rFonts w:ascii="Arial Narrow" w:cs="Arial Narrow" w:eastAsia="Arial Narrow" w:hAnsi="Arial Narrow"/>
                <w:rtl w:val="0"/>
              </w:rPr>
              <w:t xml:space="preserve">2 oude jeansbroeken (hang die ergens over een tak)</w:t>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Deze begeleider vraagt deelnemers of ze bereid zijn om te smokkelen op de zwarte markt. Met smokkelwaar op de zwarte markt kunnen ze in een andere post terecht om te ruilen tegen eten, kledij, drank, medicijnen en vertier (bij de zwarte markt-handelaar daar). Deelnemers die ja zeggen krijgen een zwarte streep op hun gezicht, dit maakt hen kwetsbaar voor de douane (boemannen).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r w:rsidDel="00000000" w:rsidR="00000000" w:rsidRPr="00000000">
        <w:rPr>
          <w:rtl w:val="0"/>
        </w:rPr>
      </w:r>
    </w:p>
    <w:tbl>
      <w:tblPr>
        <w:tblStyle w:val="Table4"/>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Smokkelaar (zichtbaar louche gekleed)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achtergelaten tent.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het circus en de dierentuin hiermee wel iets zouden zijn.)</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goedkope gsm’s en drugs in ruil.</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Kurk, lucifers (om zwarte markering te maken)</w:t>
            </w:r>
          </w:p>
        </w:tc>
      </w:tr>
    </w:tbl>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